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png" ContentType="image/png"/>
  <Override PartName="/word/media/rId32.png" ContentType="image/png"/>
  <Override PartName="/word/media/rId40.png" ContentType="image/png"/>
  <Override PartName="/word/media/rId43.png" ContentType="image/png"/>
  <Override PartName="/word/media/rId46.png" ContentType="image/png"/>
  <Override PartName="/word/media/rId56.png" ContentType="image/png"/>
  <Override PartName="/word/media/rId59.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8.png" ContentType="image/png"/>
  <Override PartName="/word/media/rId71.png" ContentType="image/png"/>
  <Override PartName="/word/media/rId94.png" ContentType="image/png"/>
  <Override PartName="/word/media/rId97.png" ContentType="image/png"/>
  <Override PartName="/word/media/rId105.png" ContentType="image/png"/>
  <Override PartName="/word/media/rId108.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CKD</w:t>
      </w:r>
      <w:r>
        <w:t xml:space="preserve"> </w:t>
      </w:r>
      <w:r>
        <w:t xml:space="preserve">Populations</w:t>
      </w:r>
    </w:p>
    <w:tbl>
      <w:tblPr>
        <w:tblStyle w:val="Table"/>
        <w:tblW w:type="pct" w:w="5000"/>
        <w:tblLook w:firstRow="1" w:lastRow="0" w:firstColumn="0" w:lastColumn="0" w:noHBand="0" w:noVBand="0" w:val="0020"/>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https://github.com/Open-Systems-Pharmacology/Qualification-CKD</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increased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6"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w:t>
      </w:r>
      <w:r>
        <w:t xml:space="preserve"> </w:t>
      </w:r>
      <w:hyperlink r:id="rId21">
        <w:r>
          <w:rPr>
            <w:rStyle w:val="Hyperlink"/>
          </w:rPr>
          <w:t xml:space="preserve">https://github.com/Open-Systems-Pharmacology/Forum/discussions/1341</w:t>
        </w:r>
      </w:hyperlink>
      <w:r>
        <w:t xml:space="preserve">, and thus the</w:t>
      </w:r>
      <w:r>
        <w:t xml:space="preserve"> </w:t>
      </w:r>
      <w:r>
        <w:t xml:space="preserve">“</w:t>
      </w:r>
      <w:r>
        <w:t xml:space="preserve">other organs</w:t>
      </w:r>
      <w:r>
        <w:t xml:space="preserve">”</w:t>
      </w:r>
      <w:r>
        <w:t xml:space="preserve"> </w:t>
      </w:r>
      <w:r>
        <w:t xml:space="preserve">blood flow varies slightly across individuals.</w:t>
      </w:r>
    </w:p>
    <w:bookmarkStart w:id="22"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adjusted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Volumes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w:t>
      </w:r>
      <w:r>
        <w:t xml:space="preserve"> </w:t>
      </w:r>
      <w:hyperlink r:id="rId21">
        <w:r>
          <w:rPr>
            <w:rStyle w:val="Hyperlink"/>
          </w:rPr>
          <w:t xml:space="preserve">https://github.com/Open-Systems-Pharmacology/Forum/discussions/1341</w:t>
        </w:r>
      </w:hyperlink>
      <w:r>
        <w:t xml:space="preserve"> </w:t>
      </w:r>
      <w:r>
        <w:t xml:space="preserve">were applied.</w:t>
      </w:r>
    </w:p>
    <w:bookmarkEnd w:id="22"/>
    <w:bookmarkStart w:id="23"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3"/>
    <w:bookmarkStart w:id="24"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4"/>
    <w:bookmarkStart w:id="25"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w:t>
      </w:r>
    </w:p>
    <w:bookmarkEnd w:id="25"/>
    <w:bookmarkEnd w:id="26"/>
    <w:bookmarkStart w:id="125"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7"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8"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7"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7"/>
    <w:bookmarkEnd w:id="28"/>
    <w:bookmarkStart w:id="36" w:name="alfentanil-in-a-hi-population"/>
    <w:p>
      <w:pPr>
        <w:pStyle w:val="Heading3"/>
      </w:pPr>
      <w:r>
        <w:t xml:space="preserve">Alfentanil in a HI Population</w:t>
      </w:r>
      <w:r>
        <w:t xml:space="preserve"> </w:t>
      </w:r>
      <w:bookmarkStart w:id="alfentanil_hi" w:name="alfentanil_hi"/>
      <w:bookmarkEnd w:id="alfentanil_hi"/>
    </w:p>
    <w:bookmarkStart w:id="35"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61403"/>
            <wp:effectExtent b="0" l="0" r="0" t="0"/>
            <wp:docPr descr="" title="" id="30" name="Picture"/>
            <a:graphic>
              <a:graphicData uri="http://schemas.openxmlformats.org/drawingml/2006/picture">
                <pic:pic>
                  <pic:nvPicPr>
                    <pic:cNvPr descr="images/003_section_undefined-section-3/004_section_undefined-section-4/006_section_Alfentanil_HI/1_time_profile_plot_Alfentanil_Ferrier1985_Child_Pugh_B.png" id="31" name="Picture"/>
                    <pic:cNvPicPr>
                      <a:picLocks noChangeArrowheads="1" noChangeAspect="1"/>
                    </pic:cNvPicPr>
                  </pic:nvPicPr>
                  <pic:blipFill>
                    <a:blip r:embed="rId29"/>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3-1: Ferrier 1985, Alfentanil IV 0.05 mg/kg: Simulation of the pharmacokinetics of alfentanil after a single intravenous bolus dose of 0.05 mg/kg in patients with hepatic impairment classified as Child-Pugh score B. Observed data (circles) presented as mean and standard deviation from the study by Ferrier et al [10].</w:t>
      </w:r>
    </w:p>
    <w:p>
      <w:pPr>
        <w:pStyle w:val="BodyText"/>
      </w:pPr>
      <w:r>
        <w:t xml:space="preserve"> </w:t>
      </w:r>
    </w:p>
    <w:br w:type="page"/>
    <w:p>
      <w:pPr>
        <w:pStyle w:val="BodyText"/>
      </w:pPr>
      <w:bookmarkStart w:id="figure-3-2" w:name="figure-3-2"/>
      <w:bookmarkEnd w:id="figure-3-2"/>
    </w:p>
    <w:p>
      <w:pPr>
        <w:pStyle w:val="BodyText"/>
      </w:pPr>
      <w:r>
        <w:drawing>
          <wp:inline>
            <wp:extent cx="5969000" cy="6661403"/>
            <wp:effectExtent b="0" l="0" r="0" t="0"/>
            <wp:docPr descr="" title="" id="33" name="Picture"/>
            <a:graphic>
              <a:graphicData uri="http://schemas.openxmlformats.org/drawingml/2006/picture">
                <pic:pic>
                  <pic:nvPicPr>
                    <pic:cNvPr descr="images/003_section_undefined-section-3/004_section_undefined-section-4/006_section_Alfentanil_HI/2_time_profile_plot_Alfentanil_Ferrier1985_Child_Pugh_C.png" id="34" name="Picture"/>
                    <pic:cNvPicPr>
                      <a:picLocks noChangeArrowheads="1" noChangeAspect="1"/>
                    </pic:cNvPicPr>
                  </pic:nvPicPr>
                  <pic:blipFill>
                    <a:blip r:embed="rId32"/>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3-2: Ferrier 1985, Alfentanil IV 0.05 mg/kg: Simulation of the pharmacokinetics of alfentanil after a single intravenous bolus dose of 0.05 mg/kg in patients with hepatic impairment classified as Child-Pugh score C. Observed data (circles) presented as mean and standard deviation from the study by Ferrier et al [10].</w:t>
      </w:r>
    </w:p>
    <w:p>
      <w:pPr>
        <w:pStyle w:val="BodyText"/>
      </w:pPr>
      <w:r>
        <w:t xml:space="preserve"> </w:t>
      </w:r>
    </w:p>
    <w:bookmarkEnd w:id="35"/>
    <w:bookmarkEnd w:id="36"/>
    <w:bookmarkEnd w:id="37"/>
    <w:bookmarkStart w:id="51"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9"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38"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38"/>
    <w:bookmarkEnd w:id="39"/>
    <w:bookmarkStart w:id="50" w:name="levetiracetam-in-a-hi-population"/>
    <w:p>
      <w:pPr>
        <w:pStyle w:val="Heading3"/>
      </w:pPr>
      <w:r>
        <w:t xml:space="preserve">Levetiracetam in a HI Population</w:t>
      </w:r>
      <w:r>
        <w:t xml:space="preserve"> </w:t>
      </w:r>
      <w:bookmarkStart w:id="levetiracetam_hi" w:name="levetiracetam_hi"/>
      <w:bookmarkEnd w:id="levetiracetam_hi"/>
    </w:p>
    <w:bookmarkStart w:id="49"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183075"/>
            <wp:effectExtent b="0" l="0" r="0" t="0"/>
            <wp:docPr descr="" title="" id="41"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2" name="Picture"/>
                    <pic:cNvPicPr>
                      <a:picLocks noChangeArrowheads="1" noChangeAspect="1"/>
                    </pic:cNvPicPr>
                  </pic:nvPicPr>
                  <pic:blipFill>
                    <a:blip r:embed="rId40"/>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3-3: Brockmoller 2005, Levetiracetam PO 1000mg: Simulation of the pharmacokinetics of levetiracetam after a single oral dose of 1000 mg in patients with hepatic impairment classified as Child-Pugh score A.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4" w:name="figure-3-4"/>
      <w:bookmarkEnd w:id="figure-3-4"/>
    </w:p>
    <w:p>
      <w:pPr>
        <w:pStyle w:val="BodyText"/>
      </w:pPr>
      <w:r>
        <w:drawing>
          <wp:inline>
            <wp:extent cx="5969000" cy="4183075"/>
            <wp:effectExtent b="0" l="0" r="0" t="0"/>
            <wp:docPr descr="" title="" id="44"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5" name="Picture"/>
                    <pic:cNvPicPr>
                      <a:picLocks noChangeArrowheads="1" noChangeAspect="1"/>
                    </pic:cNvPicPr>
                  </pic:nvPicPr>
                  <pic:blipFill>
                    <a:blip r:embed="rId4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3-4: Brockmoller 2005, Levetiracetam PO 1000mg: Simulation of the pharmacokinetics of levetiracetam after a single oral dose of 1000 mg in patients with hepatic impairment classified as Child-Pugh score B.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5" w:name="figure-3-5"/>
      <w:bookmarkEnd w:id="figure-3-5"/>
    </w:p>
    <w:p>
      <w:pPr>
        <w:pStyle w:val="BodyText"/>
      </w:pPr>
      <w:r>
        <w:drawing>
          <wp:inline>
            <wp:extent cx="5969000" cy="4183075"/>
            <wp:effectExtent b="0" l="0" r="0" t="0"/>
            <wp:docPr descr="" title="" id="47"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8" name="Picture"/>
                    <pic:cNvPicPr>
                      <a:picLocks noChangeArrowheads="1" noChangeAspect="1"/>
                    </pic:cNvPicPr>
                  </pic:nvPicPr>
                  <pic:blipFill>
                    <a:blip r:embed="rId4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3-5: Brockmoller 2005, Levetiracetam PO 1000mg: Simulation of the pharmacokinetics of levetiracetam after a single oral dose of 1000 mg in patients with hepatic impairment classified as Child-Pugh score C.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ookmarkEnd w:id="49"/>
    <w:bookmarkEnd w:id="50"/>
    <w:bookmarkEnd w:id="51"/>
    <w:bookmarkStart w:id="64" w:name="metoprolol"/>
    <w:p>
      <w:pPr>
        <w:pStyle w:val="Heading2"/>
      </w:pPr>
      <w:r>
        <w:t xml:space="preserve">Metoprolol</w:t>
      </w:r>
      <w:r>
        <w:t xml:space="preserve"> </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4" w:name="metoprolol-in-a-healthy-population"/>
    <w:p>
      <w:pPr>
        <w:pStyle w:val="Heading3"/>
      </w:pPr>
      <w:r>
        <w:t xml:space="preserve">Metoprolol in a Healthy Population</w:t>
      </w:r>
      <w:r>
        <w:t xml:space="preserve"> </w:t>
      </w:r>
      <w:bookmarkStart w:id="metoprolol_healthy" w:name="metoprolol_healthy"/>
      <w:bookmarkEnd w:id="metoprolol_healthy"/>
    </w:p>
    <w:bookmarkStart w:id="52"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2"/>
    <w:bookmarkStart w:id="53"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tartrate tablet described by a Weibull distribution with dissolution half-time of 12.31 min and shape 0.72.</w:t>
      </w:r>
    </w:p>
    <w:bookmarkEnd w:id="53"/>
    <w:bookmarkEnd w:id="54"/>
    <w:bookmarkStart w:id="63" w:name="metoprolol-in-a-hi-population"/>
    <w:p>
      <w:pPr>
        <w:pStyle w:val="Heading3"/>
      </w:pPr>
      <w:r>
        <w:t xml:space="preserve">Metoprolol in a HI Population</w:t>
      </w:r>
      <w:r>
        <w:t xml:space="preserve"> </w:t>
      </w:r>
      <w:bookmarkStart w:id="metoprolol_hi" w:name="metoprolol_hi"/>
      <w:bookmarkEnd w:id="metoprolol_hi"/>
    </w:p>
    <w:bookmarkStart w:id="55"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variables were reported to fully assess Child-Pugh status. Based on the clinical variables that were reported,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5"/>
    <w:bookmarkStart w:id="62"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183075"/>
            <wp:effectExtent b="0" l="0" r="0" t="0"/>
            <wp:docPr descr="" title="" id="57" name="Picture"/>
            <a:graphic>
              <a:graphicData uri="http://schemas.openxmlformats.org/drawingml/2006/picture">
                <pic:pic>
                  <pic:nvPicPr>
                    <pic:cNvPr descr="images/003_section_undefined-section-3/010_section_undefined-section-10/012_section_Metoprolol_HI/6_time_profile_plot_Metoprolol_Regardh1981_CPA_PO_Population.png" id="58" name="Picture"/>
                    <pic:cNvPicPr>
                      <a:picLocks noChangeArrowheads="1" noChangeAspect="1"/>
                    </pic:cNvPicPr>
                  </pic:nvPicPr>
                  <pic:blipFill>
                    <a:blip r:embed="rId5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3-6: Regardh 1981, Metoprolol tartrate PO 50mg: Simulation of the pharmacokinetics of metoprolol tartrate after a single oral dose of 50 mg in patients with hepatic impairment classified as Child-Pugh score A. Observed data (circles) presented as the mean concentration time profiles with standard deviation of participants enrolled in the study by Regårdh, Jordö (24).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7" w:name="figure-3-7"/>
      <w:bookmarkEnd w:id="figure-3-7"/>
    </w:p>
    <w:p>
      <w:pPr>
        <w:pStyle w:val="BodyText"/>
      </w:pPr>
      <w:r>
        <w:drawing>
          <wp:inline>
            <wp:extent cx="5969000" cy="4183075"/>
            <wp:effectExtent b="0" l="0" r="0" t="0"/>
            <wp:docPr descr="" title="" id="60" name="Picture"/>
            <a:graphic>
              <a:graphicData uri="http://schemas.openxmlformats.org/drawingml/2006/picture">
                <pic:pic>
                  <pic:nvPicPr>
                    <pic:cNvPr descr="images/003_section_undefined-section-3/010_section_undefined-section-10/012_section_Metoprolol_HI/7_time_profile_plot_Metoprolol_Regardh1981_CPB_PO_Population.png" id="61" name="Picture"/>
                    <pic:cNvPicPr>
                      <a:picLocks noChangeArrowheads="1" noChangeAspect="1"/>
                    </pic:cNvPicPr>
                  </pic:nvPicPr>
                  <pic:blipFill>
                    <a:blip r:embed="rId5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2"/>
    <w:bookmarkEnd w:id="63"/>
    <w:bookmarkEnd w:id="64"/>
    <w:bookmarkStart w:id="91" w:name="midazolam"/>
    <w:p>
      <w:pPr>
        <w:pStyle w:val="Heading2"/>
      </w:pPr>
      <w:r>
        <w:t xml:space="preserve">Midazolam</w:t>
      </w:r>
      <w:r>
        <w:t xml:space="preserve"> </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6" w:name="midazolam-in-a-healthy-population"/>
    <w:p>
      <w:pPr>
        <w:pStyle w:val="Heading3"/>
      </w:pPr>
      <w:r>
        <w:t xml:space="preserve">Midazolam in a Healthy Population</w:t>
      </w:r>
      <w:r>
        <w:t xml:space="preserve"> </w:t>
      </w:r>
      <w:bookmarkStart w:id="midazolam_healthy" w:name="midazolam_healthy"/>
      <w:bookmarkEnd w:id="midazolam_healthy"/>
    </w:p>
    <w:bookmarkStart w:id="65"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5"/>
    <w:bookmarkEnd w:id="66"/>
    <w:bookmarkStart w:id="90" w:name="midazolam-in-a-hi-population"/>
    <w:p>
      <w:pPr>
        <w:pStyle w:val="Heading3"/>
      </w:pPr>
      <w:r>
        <w:t xml:space="preserve">Midazolam in a HI Population</w:t>
      </w:r>
      <w:r>
        <w:t xml:space="preserve"> </w:t>
      </w:r>
      <w:bookmarkStart w:id="midazolam_hi" w:name="midazolam_hi"/>
      <w:bookmarkEnd w:id="midazolam_hi"/>
    </w:p>
    <w:bookmarkStart w:id="67"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7"/>
    <w:bookmarkStart w:id="89"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183075"/>
            <wp:effectExtent b="0" l="0" r="0" t="0"/>
            <wp:docPr descr="" title="" id="69" name="Picture"/>
            <a:graphic>
              <a:graphicData uri="http://schemas.openxmlformats.org/drawingml/2006/picture">
                <pic:pic>
                  <pic:nvPicPr>
                    <pic:cNvPr descr="images/003_section_undefined-section-3/013_section_undefined-section-13/015_section_Midazolam_HI/8_time_profile_plot_Midazolam_Macgilchrist1986_CPA_Population.png" id="70" name="Picture"/>
                    <pic:cNvPicPr>
                      <a:picLocks noChangeArrowheads="1" noChangeAspect="1"/>
                    </pic:cNvPicPr>
                  </pic:nvPicPr>
                  <pic:blipFill>
                    <a:blip r:embed="rId68"/>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3-8: Macgilchrist 1986, Midazolam IV 0.075 mg/kg: Simulation of the pharmacokinetics of midazolam after a single intravenous dose of 0.075 mg/kg in patients with hepatic impairment classified as Child-Pugh score A.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9" w:name="figure-3-9"/>
      <w:bookmarkEnd w:id="figure-3-9"/>
    </w:p>
    <w:p>
      <w:pPr>
        <w:pStyle w:val="BodyText"/>
      </w:pPr>
      <w:r>
        <w:drawing>
          <wp:inline>
            <wp:extent cx="5969000" cy="4183075"/>
            <wp:effectExtent b="0" l="0" r="0" t="0"/>
            <wp:docPr descr="" title="" id="72" name="Picture"/>
            <a:graphic>
              <a:graphicData uri="http://schemas.openxmlformats.org/drawingml/2006/picture">
                <pic:pic>
                  <pic:nvPicPr>
                    <pic:cNvPr descr="images/003_section_undefined-section-3/013_section_undefined-section-13/015_section_Midazolam_HI/9_time_profile_plot_Midazolam_Macgilchrist1986_CPB_Population.png" id="73" name="Picture"/>
                    <pic:cNvPicPr>
                      <a:picLocks noChangeArrowheads="1" noChangeAspect="1"/>
                    </pic:cNvPicPr>
                  </pic:nvPicPr>
                  <pic:blipFill>
                    <a:blip r:embed="rId71"/>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3-9: Macgilchrist 1986, Midazolam IV 0.075 mg/kg: Simulation of the pharmacokinetics of midazolam after a single intravenous dose of 0.075 mg/kg in patients with hepatic impairment classified as Child-Pugh score B.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0" w:name="figure-3-10"/>
      <w:bookmarkEnd w:id="figure-3-10"/>
    </w:p>
    <w:p>
      <w:pPr>
        <w:pStyle w:val="BodyText"/>
      </w:pPr>
      <w:r>
        <w:drawing>
          <wp:inline>
            <wp:extent cx="5969000" cy="4183075"/>
            <wp:effectExtent b="0" l="0" r="0" t="0"/>
            <wp:docPr descr="" title="" id="75" name="Picture"/>
            <a:graphic>
              <a:graphicData uri="http://schemas.openxmlformats.org/drawingml/2006/picture">
                <pic:pic>
                  <pic:nvPicPr>
                    <pic:cNvPr descr="images/003_section_undefined-section-3/013_section_undefined-section-13/015_section_Midazolam_HI/10_time_profile_plot_Midazolam_Macgilchrist1986_CPC_Population.png" id="76" name="Picture"/>
                    <pic:cNvPicPr>
                      <a:picLocks noChangeArrowheads="1" noChangeAspect="1"/>
                    </pic:cNvPicPr>
                  </pic:nvPicPr>
                  <pic:blipFill>
                    <a:blip r:embed="rId74"/>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3-10: Macgilchrist 1986, Midazolam IV 0.075 mg/kg: Simulation of the pharmacokinetics of midazolam after a single intravenous dose of 0.075 mg/kg in patients with hepatic impairment classified as Child-Pugh score C.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1" w:name="figure-3-11"/>
      <w:bookmarkEnd w:id="figure-3-11"/>
    </w:p>
    <w:p>
      <w:pPr>
        <w:pStyle w:val="BodyText"/>
      </w:pPr>
      <w:r>
        <w:drawing>
          <wp:inline>
            <wp:extent cx="5969000" cy="4183075"/>
            <wp:effectExtent b="0" l="0" r="0" t="0"/>
            <wp:docPr descr="" title="" id="78" name="Picture"/>
            <a:graphic>
              <a:graphicData uri="http://schemas.openxmlformats.org/drawingml/2006/picture">
                <pic:pic>
                  <pic:nvPicPr>
                    <pic:cNvPr descr="images/003_section_undefined-section-3/013_section_undefined-section-13/015_section_Midazolam_HI/11_time_profile_plot_Midazolam_Pentikainen1989_IV_CPB_Population.png" id="79" name="Picture"/>
                    <pic:cNvPicPr>
                      <a:picLocks noChangeArrowheads="1" noChangeAspect="1"/>
                    </pic:cNvPicPr>
                  </pic:nvPicPr>
                  <pic:blipFill>
                    <a:blip r:embed="rId77"/>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3-11: Pentikainen 1989, Midazolam IV 7.5 mg: Simulation of the pharmacokinetics of midazolam after a single intravenous dose of 7.5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2" w:name="figure-3-12"/>
      <w:bookmarkEnd w:id="figure-3-12"/>
    </w:p>
    <w:p>
      <w:pPr>
        <w:pStyle w:val="BodyText"/>
      </w:pPr>
      <w:r>
        <w:drawing>
          <wp:inline>
            <wp:extent cx="5969000" cy="4183075"/>
            <wp:effectExtent b="0" l="0" r="0" t="0"/>
            <wp:docPr descr="" title="" id="81" name="Picture"/>
            <a:graphic>
              <a:graphicData uri="http://schemas.openxmlformats.org/drawingml/2006/picture">
                <pic:pic>
                  <pic:nvPicPr>
                    <pic:cNvPr descr="images/003_section_undefined-section-3/013_section_undefined-section-13/015_section_Midazolam_HI/12_time_profile_plot_Midazolam_Pentikainen1989_IV_CPC_Population.png" id="82" name="Picture"/>
                    <pic:cNvPicPr>
                      <a:picLocks noChangeArrowheads="1" noChangeAspect="1"/>
                    </pic:cNvPicPr>
                  </pic:nvPicPr>
                  <pic:blipFill>
                    <a:blip r:embed="rId80"/>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3-12: Pentikainen 1989, Midazolam IV 7.5 mg: Simulation of the pharmacokinetics of midazolam after a single intravenous dose of 7.5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3" w:name="figure-3-13"/>
      <w:bookmarkEnd w:id="figure-3-13"/>
    </w:p>
    <w:p>
      <w:pPr>
        <w:pStyle w:val="BodyText"/>
      </w:pPr>
      <w:r>
        <w:drawing>
          <wp:inline>
            <wp:extent cx="5969000" cy="4183075"/>
            <wp:effectExtent b="0" l="0" r="0" t="0"/>
            <wp:docPr descr="" title="" id="84" name="Picture"/>
            <a:graphic>
              <a:graphicData uri="http://schemas.openxmlformats.org/drawingml/2006/picture">
                <pic:pic>
                  <pic:nvPicPr>
                    <pic:cNvPr descr="images/003_section_undefined-section-3/013_section_undefined-section-13/015_section_Midazolam_HI/13_time_profile_plot_Midazolam_Pentikanen1889_PO_CPB_Population.png" id="85" name="Picture"/>
                    <pic:cNvPicPr>
                      <a:picLocks noChangeArrowheads="1" noChangeAspect="1"/>
                    </pic:cNvPicPr>
                  </pic:nvPicPr>
                  <pic:blipFill>
                    <a:blip r:embed="rId8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3-13: Pentikainen 1989, Midazolam PO 15 mg: Simulation of the pharmacokinetics of midazolam after a single oral dose of 15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4" w:name="figure-3-14"/>
      <w:bookmarkEnd w:id="figure-3-14"/>
    </w:p>
    <w:p>
      <w:pPr>
        <w:pStyle w:val="BodyText"/>
      </w:pPr>
      <w:r>
        <w:drawing>
          <wp:inline>
            <wp:extent cx="5969000" cy="4183075"/>
            <wp:effectExtent b="0" l="0" r="0" t="0"/>
            <wp:docPr descr="" title="" id="87" name="Picture"/>
            <a:graphic>
              <a:graphicData uri="http://schemas.openxmlformats.org/drawingml/2006/picture">
                <pic:pic>
                  <pic:nvPicPr>
                    <pic:cNvPr descr="images/003_section_undefined-section-3/013_section_undefined-section-13/015_section_Midazolam_HI/14_time_profile_plot_Midazolam_Pentikanen1889_PO_CPC_Population.png" id="88" name="Picture"/>
                    <pic:cNvPicPr>
                      <a:picLocks noChangeArrowheads="1" noChangeAspect="1"/>
                    </pic:cNvPicPr>
                  </pic:nvPicPr>
                  <pic:blipFill>
                    <a:blip r:embed="rId8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3-14: Pentikainen 1989, Midazolam PO 15 mg: Simulation of the pharmacokinetics of midazolam after a single oral dose of 15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ookmarkEnd w:id="89"/>
    <w:bookmarkEnd w:id="90"/>
    <w:bookmarkEnd w:id="91"/>
    <w:bookmarkStart w:id="102" w:name="sildenafil"/>
    <w:p>
      <w:pPr>
        <w:pStyle w:val="Heading2"/>
      </w:pPr>
      <w:r>
        <w:t xml:space="preserve">Sildenafil</w:t>
      </w:r>
      <w:r>
        <w:t xml:space="preserve"> </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3" w:name="sildenafil-in-a-healthy-population"/>
    <w:p>
      <w:pPr>
        <w:pStyle w:val="Heading3"/>
      </w:pPr>
      <w:r>
        <w:t xml:space="preserve">Sildenafil in a Healthy Population</w:t>
      </w:r>
      <w:r>
        <w:t xml:space="preserve"> </w:t>
      </w:r>
      <w:bookmarkStart w:id="sildenafil_healthy" w:name="sildenafil_healthy"/>
      <w:bookmarkEnd w:id="sildenafil_healthy"/>
    </w:p>
    <w:bookmarkStart w:id="92"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2"/>
    <w:bookmarkEnd w:id="93"/>
    <w:bookmarkStart w:id="101" w:name="sildenafil-in-a-hi-population"/>
    <w:p>
      <w:pPr>
        <w:pStyle w:val="Heading3"/>
      </w:pPr>
      <w:r>
        <w:t xml:space="preserve">Sildenafil in a HI Population</w:t>
      </w:r>
      <w:r>
        <w:t xml:space="preserve"> </w:t>
      </w:r>
      <w:bookmarkStart w:id="sildenafil_hi" w:name="sildenafil_hi"/>
      <w:bookmarkEnd w:id="sildenafil_hi"/>
    </w:p>
    <w:bookmarkStart w:id="100"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confirmed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183075"/>
            <wp:effectExtent b="0" l="0" r="0" t="0"/>
            <wp:docPr descr="" title="" id="95" name="Picture"/>
            <a:graphic>
              <a:graphicData uri="http://schemas.openxmlformats.org/drawingml/2006/picture">
                <pic:pic>
                  <pic:nvPicPr>
                    <pic:cNvPr descr="images/003_section_undefined-section-3/016_section_undefined-section-16/018_section_Sildenafil_HI/15_time_profile_plot_Sildenafil_Muirhead2002_CPA_Population.png" id="96" name="Picture"/>
                    <pic:cNvPicPr>
                      <a:picLocks noChangeArrowheads="1" noChangeAspect="1"/>
                    </pic:cNvPicPr>
                  </pic:nvPicPr>
                  <pic:blipFill>
                    <a:blip r:embed="rId94"/>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3-15: Muirhead 2002, Sildenafil PO 50 mg: Simulation of the pharmacokinetics of sildenafil after a single oral dose of 50 mg in patients with hepatic impairment classified as Child-Pugh score A.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6" w:name="figure-3-16"/>
      <w:bookmarkEnd w:id="figure-3-16"/>
    </w:p>
    <w:p>
      <w:pPr>
        <w:pStyle w:val="BodyText"/>
      </w:pPr>
      <w:r>
        <w:drawing>
          <wp:inline>
            <wp:extent cx="5969000" cy="4183075"/>
            <wp:effectExtent b="0" l="0" r="0" t="0"/>
            <wp:docPr descr="" title="" id="98" name="Picture"/>
            <a:graphic>
              <a:graphicData uri="http://schemas.openxmlformats.org/drawingml/2006/picture">
                <pic:pic>
                  <pic:nvPicPr>
                    <pic:cNvPr descr="images/003_section_undefined-section-3/016_section_undefined-section-16/018_section_Sildenafil_HI/16_time_profile_plot_Sildenafil_Muirhead2002_CPB_Population.png" id="99" name="Picture"/>
                    <pic:cNvPicPr>
                      <a:picLocks noChangeArrowheads="1" noChangeAspect="1"/>
                    </pic:cNvPicPr>
                  </pic:nvPicPr>
                  <pic:blipFill>
                    <a:blip r:embed="rId97"/>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3-16: Muirhead 2002, Sildenafil PO 50 mg: Simulation of the pharmacokinetics of sildenafil after a single oral dose of 50 mg in patients with hepatic impairment classified as Child-Pugh score B.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ookmarkEnd w:id="100"/>
    <w:bookmarkEnd w:id="101"/>
    <w:bookmarkEnd w:id="102"/>
    <w:bookmarkStart w:id="113" w:name="theophylline"/>
    <w:p>
      <w:pPr>
        <w:pStyle w:val="Heading2"/>
      </w:pPr>
      <w:r>
        <w:t xml:space="preserve">Theophylline</w:t>
      </w:r>
      <w:r>
        <w:t xml:space="preserve"> </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4"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03"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3"/>
    <w:bookmarkEnd w:id="104"/>
    <w:bookmarkStart w:id="112" w:name="theophylline-in-a-hi-population"/>
    <w:p>
      <w:pPr>
        <w:pStyle w:val="Heading3"/>
      </w:pPr>
      <w:r>
        <w:t xml:space="preserve">Theophylline in a HI Population</w:t>
      </w:r>
      <w:r>
        <w:t xml:space="preserve"> </w:t>
      </w:r>
      <w:bookmarkStart w:id="theophylline_hi" w:name="theophylline_hi"/>
      <w:bookmarkEnd w:id="theophylline_hi"/>
    </w:p>
    <w:bookmarkStart w:id="111"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clearance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75254"/>
            <wp:effectExtent b="0" l="0" r="0" t="0"/>
            <wp:docPr descr="" title="" id="106" name="Picture"/>
            <a:graphic>
              <a:graphicData uri="http://schemas.openxmlformats.org/drawingml/2006/picture">
                <pic:pic>
                  <pic:nvPicPr>
                    <pic:cNvPr descr="images/003_section_undefined-section-3/019_section_undefined-section-19/021_section_Theophylline_HI/17_time_profile_plot_Theophylline_Froomes1981_CPB_Population.png" id="107" name="Picture"/>
                    <pic:cNvPicPr>
                      <a:picLocks noChangeArrowheads="1" noChangeAspect="1"/>
                    </pic:cNvPicPr>
                  </pic:nvPicPr>
                  <pic:blipFill>
                    <a:blip r:embed="rId105"/>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75254"/>
            <wp:effectExtent b="0" l="0" r="0" t="0"/>
            <wp:docPr descr="" title="" id="109" name="Picture"/>
            <a:graphic>
              <a:graphicData uri="http://schemas.openxmlformats.org/drawingml/2006/picture">
                <pic:pic>
                  <pic:nvPicPr>
                    <pic:cNvPr descr="images/003_section_undefined-section-3/019_section_undefined-section-19/021_section_Theophylline_HI/18_time_profile_plot_Theophylline_Froomes1981_CPC_Population.png" id="110" name="Picture"/>
                    <pic:cNvPicPr>
                      <a:picLocks noChangeArrowheads="1" noChangeAspect="1"/>
                    </pic:cNvPicPr>
                  </pic:nvPicPr>
                  <pic:blipFill>
                    <a:blip r:embed="rId108"/>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1"/>
    <w:bookmarkEnd w:id="112"/>
    <w:bookmarkEnd w:id="113"/>
    <w:bookmarkStart w:id="124" w:name="lidocaine"/>
    <w:p>
      <w:pPr>
        <w:pStyle w:val="Heading2"/>
      </w:pPr>
      <w:r>
        <w:t xml:space="preserve">Lidocaine</w:t>
      </w:r>
      <w:r>
        <w:t xml:space="preserve"> </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5" w:name="lidocaine-in-a-healthy-population"/>
    <w:p>
      <w:pPr>
        <w:pStyle w:val="Heading3"/>
      </w:pPr>
      <w:r>
        <w:t xml:space="preserve">Lidocaine in a Healthy Population</w:t>
      </w:r>
      <w:r>
        <w:t xml:space="preserve"> </w:t>
      </w:r>
      <w:bookmarkStart w:id="lidocaine_healthy" w:name="lidocaine_healthy"/>
      <w:bookmarkEnd w:id="lidocaine_healthy"/>
    </w:p>
    <w:bookmarkStart w:id="114"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114"/>
    <w:bookmarkEnd w:id="115"/>
    <w:bookmarkStart w:id="123" w:name="lidocaine-in-a-hi-population"/>
    <w:p>
      <w:pPr>
        <w:pStyle w:val="Heading3"/>
      </w:pPr>
      <w:r>
        <w:t xml:space="preserve">Lidocaine in a HI Population</w:t>
      </w:r>
      <w:r>
        <w:t xml:space="preserve"> </w:t>
      </w:r>
      <w:bookmarkStart w:id="lidocaine_hi" w:name="lidocaine_hi"/>
      <w:bookmarkEnd w:id="lidocaine_hi"/>
    </w:p>
    <w:bookmarkStart w:id="122"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19" w:name="figure-3-19"/>
      <w:bookmarkEnd w:id="figure-3-19"/>
    </w:p>
    <w:p>
      <w:pPr>
        <w:pStyle w:val="BodyText"/>
      </w:pPr>
      <w:r>
        <w:drawing>
          <wp:inline>
            <wp:extent cx="5969000" cy="4183075"/>
            <wp:effectExtent b="0" l="0" r="0" t="0"/>
            <wp:docPr descr="" title="" id="117" name="Picture"/>
            <a:graphic>
              <a:graphicData uri="http://schemas.openxmlformats.org/drawingml/2006/picture">
                <pic:pic>
                  <pic:nvPicPr>
                    <pic:cNvPr descr="images/003_section_undefined-section-3/022_section_undefined-section-22/024_section_Lidocaine_HI/19_time_profile_plot_Lidocaine_Orlando2003_CPA_Population.png" id="118" name="Picture"/>
                    <pic:cNvPicPr>
                      <a:picLocks noChangeArrowheads="1" noChangeAspect="1"/>
                    </pic:cNvPicPr>
                  </pic:nvPicPr>
                  <pic:blipFill>
                    <a:blip r:embed="rId11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3-19: Orlando 2003, Lidocaine IV 1 mg/kg: Simulation of the pharmacokinetics of lidocaine after a single intravenous dose of 1 mg/kg in patients with hepatic impairment classified as Child-Pugh score A.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20" w:name="figure-3-20"/>
      <w:bookmarkEnd w:id="figure-3-20"/>
    </w:p>
    <w:p>
      <w:pPr>
        <w:pStyle w:val="BodyText"/>
      </w:pPr>
      <w:r>
        <w:drawing>
          <wp:inline>
            <wp:extent cx="5969000" cy="4183075"/>
            <wp:effectExtent b="0" l="0" r="0" t="0"/>
            <wp:docPr descr="" title="" id="120" name="Picture"/>
            <a:graphic>
              <a:graphicData uri="http://schemas.openxmlformats.org/drawingml/2006/picture">
                <pic:pic>
                  <pic:nvPicPr>
                    <pic:cNvPr descr="images/003_section_undefined-section-3/022_section_undefined-section-22/024_section_Lidocaine_HI/20_time_profile_plot_Lidocaine_Orlando2003_CPC_Population.png" id="121" name="Picture"/>
                    <pic:cNvPicPr>
                      <a:picLocks noChangeArrowheads="1" noChangeAspect="1"/>
                    </pic:cNvPicPr>
                  </pic:nvPicPr>
                  <pic:blipFill>
                    <a:blip r:embed="rId11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3-20: Orlando 2003, Lidocaine IV 1 mg/kg: Simulation of the pharmacokinetics of lidocaine after a single intravenous dose of 1 mg/kg in patients with hepatic impairment classified as Child-Pugh score C.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ookmarkEnd w:id="122"/>
    <w:bookmarkEnd w:id="123"/>
    <w:bookmarkEnd w:id="124"/>
    <w:bookmarkEnd w:id="125"/>
    <w:bookmarkStart w:id="133" w:name="references"/>
    <w:p>
      <w:pPr>
        <w:pStyle w:val="Heading1"/>
      </w:pPr>
      <w:r>
        <w:t xml:space="preserve">References</w:t>
      </w:r>
      <w:r>
        <w:t xml:space="preserve"> </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w:t>
      </w:r>
      <w:r>
        <w:t xml:space="preserve"> </w:t>
      </w:r>
      <w:hyperlink r:id="rId126">
        <w:r>
          <w:rPr>
            <w:rStyle w:val="Hyperlink"/>
          </w:rPr>
          <w:t xml:space="preserve">https://github.com/Open-Systems-Pharmacology/Alfentanil-Model</w:t>
        </w:r>
      </w:hyperlink>
      <w:r>
        <w:t xml:space="preserve">.</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w:t>
      </w:r>
      <w:r>
        <w:t xml:space="preserve"> </w:t>
      </w:r>
      <w:hyperlink r:id="rId127">
        <w:r>
          <w:rPr>
            <w:rStyle w:val="Hyperlink"/>
          </w:rPr>
          <w:t xml:space="preserve">https://github.com/Open-Systems-Pharmacology/Example_Caffeine</w:t>
        </w:r>
      </w:hyperlink>
      <w:r>
        <w:t xml:space="preserv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w:t>
      </w:r>
      <w:r>
        <w:t xml:space="preserve"> </w:t>
      </w:r>
      <w:hyperlink r:id="rId128">
        <w:r>
          <w:rPr>
            <w:rStyle w:val="Hyperlink"/>
          </w:rPr>
          <w:t xml:space="preserve">https://github.com/Open-Systems-Pharmacology/Metoprolol-Model</w:t>
        </w:r>
      </w:hyperlink>
      <w:r>
        <w:t xml:space="preserve">.</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w:t>
      </w:r>
      <w:r>
        <w:t xml:space="preserve"> </w:t>
      </w:r>
      <w:hyperlink r:id="rId129">
        <w:r>
          <w:rPr>
            <w:rStyle w:val="Hyperlink"/>
          </w:rPr>
          <w:t xml:space="preserve">https://github.com/Open-Systems-Pharmacology/Midazolam-Model</w:t>
        </w:r>
      </w:hyperlink>
      <w:r>
        <w:t xml:space="preserve">.</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 Available from:</w:t>
      </w:r>
      <w:r>
        <w:t xml:space="preserve"> </w:t>
      </w:r>
      <w:hyperlink r:id="rId130">
        <w:r>
          <w:rPr>
            <w:rStyle w:val="Hyperlink"/>
          </w:rPr>
          <w:t xml:space="preserve">https://github.com/Open-Systems-Pharmacology/Omeprazole-Model</w:t>
        </w:r>
      </w:hyperlink>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w:t>
      </w:r>
      <w:r>
        <w:t xml:space="preserve"> </w:t>
      </w:r>
      <w:hyperlink r:id="rId131">
        <w:r>
          <w:rPr>
            <w:rStyle w:val="Hyperlink"/>
          </w:rPr>
          <w:t xml:space="preserve">https://github.com/Open-Systems-Pharmacology/Sildenafil-Model</w:t>
        </w:r>
      </w:hyperlink>
      <w:r>
        <w:t xml:space="preserve">.</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w:t>
      </w:r>
      <w:r>
        <w:t xml:space="preserve"> </w:t>
      </w:r>
      <w:hyperlink r:id="rId132">
        <w:r>
          <w:rPr>
            <w:rStyle w:val="Hyperlink"/>
          </w:rPr>
          <w:t xml:space="preserve">https://github.com/Open-Systems-Pharmacology/Theophylline-Model</w:t>
        </w:r>
      </w:hyperlink>
      <w:r>
        <w:t xml:space="preserve">.</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3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_rels/footnotes.xml.rels><?xml version="1.0" encoding="UTF-8"?><Relationships xmlns="http://schemas.openxmlformats.org/package/2006/relationships"><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CKD Populations</dc:title>
  <dc:creator/>
  <cp:keywords/>
  <dcterms:created xsi:type="dcterms:W3CDTF">2024-06-20T18:29:21Z</dcterms:created>
  <dcterms:modified xsi:type="dcterms:W3CDTF">2024-06-20T18:29:21Z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Version1.0-OSP12.0OSP Version12.0Qualification Framework Version3.0This qualification report and the corresponding PK-Sim project file are filed at:https://github.com/Open-Systems-Pharmacology/Qualification-CKD</vt:lpwstr>
  </property>
  <property fmtid="{D5CDD505-2E9C-101B-9397-08002B2CF9AE}" pid="3" name="subtitle">
    <vt:lpwstr/>
  </property>
</Properties>
</file>